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0" w:lineRule="atLeast"/>
        <w:ind w:left="0" w:right="0" w:firstLine="0"/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eastAsia="zh-CN"/>
        </w:rPr>
        <w:t>中证金融公司采购项目信息公示表</w:t>
      </w:r>
    </w:p>
    <w:tbl>
      <w:tblPr>
        <w:tblStyle w:val="3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998"/>
        <w:gridCol w:w="346"/>
        <w:gridCol w:w="283"/>
        <w:gridCol w:w="624"/>
        <w:gridCol w:w="316"/>
        <w:gridCol w:w="984"/>
        <w:gridCol w:w="770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32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2021年12月24日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采购项目名称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i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/>
                <w:color w:val="000000"/>
                <w:kern w:val="0"/>
                <w:sz w:val="21"/>
                <w:szCs w:val="21"/>
              </w:rPr>
              <w:t>620房间施工改造项目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190000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180000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采购方式</w:t>
            </w:r>
          </w:p>
        </w:tc>
        <w:tc>
          <w:tcPr>
            <w:tcW w:w="2693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竞争性谈判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中标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/成交人</w:t>
            </w:r>
          </w:p>
        </w:tc>
        <w:tc>
          <w:tcPr>
            <w:tcW w:w="316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北京世纪正文科技有限公司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采购过程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北京世纪正文科技有限公司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中装华泰（北京）装饰工程有限公司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北京未来立上装饰科技有限责任公司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3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合同名称</w:t>
            </w:r>
          </w:p>
        </w:tc>
        <w:tc>
          <w:tcPr>
            <w:tcW w:w="4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620房间施工改造项目技术服务合同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33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合同金额（元人民币）</w:t>
            </w:r>
          </w:p>
        </w:tc>
        <w:tc>
          <w:tcPr>
            <w:tcW w:w="415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180000</w:t>
            </w:r>
          </w:p>
        </w:tc>
      </w:tr>
    </w:tbl>
    <w:p>
      <w:pPr>
        <w:rPr>
          <w:rFonts w:hint="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YWZjYjgzMGJmMDRjNzhjZWY1ZjY3NTE2ODkyZWMifQ=="/>
  </w:docVars>
  <w:rsids>
    <w:rsidRoot w:val="00000000"/>
    <w:rsid w:val="006D3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</dc:creator>
  <cp:lastModifiedBy>Think</cp:lastModifiedBy>
  <dcterms:modified xsi:type="dcterms:W3CDTF">2022-09-19T09:02:50Z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80CC170C824046098955BAC738EEC64F</vt:lpwstr>
  </property>
</Properties>
</file>