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附件2</w:t>
      </w:r>
    </w:p>
    <w:p>
      <w:pPr>
        <w:spacing w:line="360" w:lineRule="auto"/>
        <w:ind w:firstLine="567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独立出借人转融通业务仿真测试结果</w:t>
      </w:r>
    </w:p>
    <w:p>
      <w:pPr>
        <w:spacing w:line="360" w:lineRule="auto"/>
        <w:ind w:firstLine="567"/>
        <w:jc w:val="center"/>
        <w:rPr>
          <w:rFonts w:hint="eastAsia" w:ascii="华文中宋" w:hAnsi="华文中宋" w:eastAsia="华文中宋" w:cs="华文中宋"/>
          <w:sz w:val="36"/>
          <w:szCs w:val="36"/>
        </w:rPr>
      </w:pPr>
    </w:p>
    <w:tbl>
      <w:tblPr>
        <w:tblStyle w:val="5"/>
        <w:tblW w:w="939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3560"/>
        <w:gridCol w:w="1180"/>
        <w:gridCol w:w="30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  <w:t>内容</w:t>
            </w:r>
          </w:p>
        </w:tc>
        <w:tc>
          <w:tcPr>
            <w:tcW w:w="356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  <w:t>仿真交易项目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  <w:t>是否正常</w:t>
            </w:r>
          </w:p>
        </w:tc>
        <w:tc>
          <w:tcPr>
            <w:tcW w:w="305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  <w:t>问题描述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  <w:t>接入和安全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转融通平台签到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转融通平台签到密码修改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转融通平台签退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  <w:t>清算文件接收和处理</w:t>
            </w:r>
          </w:p>
          <w:p>
            <w:pPr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T日新合约信息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T日合约偿还明细库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T日合约对帐库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T+1日交收通知库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展期结果通知库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偿还划付差错库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转融通权益处理库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独立出借人交易单元报备库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Cs w:val="21"/>
                <w:lang w:val="en-US" w:eastAsia="zh-CN"/>
              </w:rPr>
              <w:t>证券出借人资料报备库</w:t>
            </w:r>
            <w:bookmarkStart w:id="0" w:name="_GoBack"/>
            <w:bookmarkEnd w:id="0"/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  <w:t>日间业务申报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  <w:t>（转融通平台）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约定出借证券同意展期申报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约定出借证券同意展期申报撤单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沪市科创板证券申请提前了结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沪市科创板证券申请提前了结撤单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  <w:t>转融券出借（上交所综合业务平台）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转融券出借约定申报\撤单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转融券出借非约定申报\撤单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综合业务回报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  <w:t>转融券出借（深交所综合协议平台）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转融券出借约定申报\撤单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转融券出借非约定申报\撤单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综合业务回报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Cs w:val="21"/>
              </w:rPr>
              <w:t>其他项目</w:t>
            </w:r>
          </w:p>
        </w:tc>
        <w:tc>
          <w:tcPr>
            <w:tcW w:w="3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Cs w:val="21"/>
              </w:rPr>
              <w:t>(可自行添加)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  <w:tc>
          <w:tcPr>
            <w:tcW w:w="30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Cs w:val="21"/>
              </w:rPr>
            </w:pPr>
          </w:p>
        </w:tc>
      </w:tr>
    </w:tbl>
    <w:p>
      <w:pPr>
        <w:ind w:firstLine="640"/>
      </w:pPr>
    </w:p>
    <w:p>
      <w:pPr>
        <w:rPr>
          <w:rFonts w:ascii="华文仿宋" w:hAnsi="华文仿宋" w:eastAsia="华文仿宋" w:cs="华文仿宋"/>
          <w:b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sz w:val="28"/>
          <w:szCs w:val="28"/>
        </w:rPr>
        <w:t>填写说明：</w:t>
      </w:r>
    </w:p>
    <w:p>
      <w:pPr>
        <w:pStyle w:val="6"/>
        <w:widowControl/>
        <w:numPr>
          <w:ilvl w:val="0"/>
          <w:numId w:val="1"/>
        </w:numPr>
        <w:ind w:firstLineChars="0"/>
        <w:jc w:val="left"/>
        <w:rPr>
          <w:rFonts w:ascii="楷体" w:hAnsi="楷体" w:eastAsia="楷体" w:cs="宋体"/>
          <w:color w:val="000000"/>
          <w:kern w:val="0"/>
          <w:sz w:val="28"/>
          <w:szCs w:val="28"/>
        </w:rPr>
      </w:pPr>
      <w:r>
        <w:rPr>
          <w:rFonts w:hint="eastAsia" w:ascii="楷体" w:hAnsi="楷体" w:eastAsia="楷体" w:cs="宋体"/>
          <w:color w:val="000000"/>
          <w:kern w:val="0"/>
          <w:sz w:val="28"/>
          <w:szCs w:val="28"/>
        </w:rPr>
        <w:t>是否正常项：填写“是”表示测试没有问题，“否”表示测试有问题，“－”表示未测试。</w:t>
      </w:r>
    </w:p>
    <w:p>
      <w:pPr>
        <w:pStyle w:val="6"/>
        <w:widowControl/>
        <w:numPr>
          <w:ilvl w:val="0"/>
          <w:numId w:val="1"/>
        </w:numPr>
        <w:ind w:firstLineChars="0"/>
        <w:jc w:val="left"/>
      </w:pPr>
      <w:r>
        <w:rPr>
          <w:rFonts w:hint="eastAsia" w:ascii="楷体" w:hAnsi="楷体" w:eastAsia="楷体" w:cs="宋体"/>
          <w:color w:val="000000"/>
          <w:kern w:val="0"/>
          <w:sz w:val="28"/>
          <w:szCs w:val="28"/>
        </w:rPr>
        <w:t>基金产品如在托管行托管，则对应的托管行必须与转融通平台正常对接，并能正确处理相关转融通业务清算数据。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top w:val="thinThickSmallGap" w:color="622423" w:sz="24" w:space="1"/>
      </w:pBdr>
      <w:ind w:left="210" w:leftChars="100"/>
      <w:jc w:val="center"/>
      <w:rPr>
        <w:rFonts w:ascii="Cambria" w:hAnsi="Cambria"/>
      </w:rPr>
    </w:pPr>
    <w:r>
      <w:rPr>
        <w:rFonts w:hint="eastAsia" w:ascii="Cambria" w:hAnsi="Cambria"/>
      </w:rPr>
      <w:t xml:space="preserve">中国证券金融股份有限公司              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" w:hAnsi="Cambria"/>
        <w:lang w:val="zh-CN"/>
      </w:rPr>
      <w:t>1</w:t>
    </w:r>
    <w:r>
      <w:fldChar w:fldCharType="end"/>
    </w:r>
  </w:p>
  <w:p>
    <w:pPr>
      <w:pStyle w:val="2"/>
      <w:tabs>
        <w:tab w:val="clear" w:pos="4153"/>
      </w:tabs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A5BAB"/>
    <w:multiLevelType w:val="multilevel"/>
    <w:tmpl w:val="74FA5BAB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3224F"/>
    <w:rsid w:val="003A3A6E"/>
    <w:rsid w:val="00407BEF"/>
    <w:rsid w:val="00B446E0"/>
    <w:rsid w:val="00B90066"/>
    <w:rsid w:val="00B97E91"/>
    <w:rsid w:val="25FF612F"/>
    <w:rsid w:val="3723224F"/>
    <w:rsid w:val="5B7F0A5A"/>
    <w:rsid w:val="627C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455</Characters>
  <Lines>3</Lines>
  <Paragraphs>1</Paragraphs>
  <TotalTime>0</TotalTime>
  <ScaleCrop>false</ScaleCrop>
  <LinksUpToDate>false</LinksUpToDate>
  <CharactersWithSpaces>533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2019-06-17T07:23:00Z</dcterms:created>
  <dc:creator>李尧</dc:creator>
  <cp:lastModifiedBy>MicroCQ</cp:lastModifiedBy>
  <dcterms:modified xsi:type="dcterms:W3CDTF">2019-07-04T10:12:43Z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