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utoSpaceDE w:val="0"/>
        <w:autoSpaceDN w:val="0"/>
        <w:adjustRightInd w:val="0"/>
        <w:rPr>
          <w:rFonts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</w:pPr>
      <w:bookmarkStart w:id="3" w:name="_GoBack"/>
      <w:bookmarkEnd w:id="3"/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32"/>
          <w:szCs w:val="32"/>
        </w:rPr>
        <w:t>附件：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修订后的转融通权益处理库</w:t>
      </w:r>
    </w:p>
    <w:p>
      <w:pPr>
        <w:pStyle w:val="2"/>
      </w:pPr>
      <w:bookmarkStart w:id="0" w:name="_Toc328469537"/>
      <w:bookmarkStart w:id="1" w:name="_Toc335833097"/>
      <w:bookmarkStart w:id="2" w:name="_Toc410287747"/>
      <w:r>
        <w:rPr>
          <w:rFonts w:hint="eastAsia"/>
        </w:rPr>
        <w:t>第六节 转融通权益处理库（ZRTQYCLK.dbf）</w:t>
      </w:r>
      <w:bookmarkEnd w:id="0"/>
      <w:bookmarkEnd w:id="1"/>
      <w:bookmarkEnd w:id="2"/>
    </w:p>
    <w:p>
      <w:pPr>
        <w:spacing w:line="360" w:lineRule="auto"/>
        <w:ind w:firstLine="420"/>
        <w:rPr>
          <w:rFonts w:ascii="宋体" w:hAnsi="宋体" w:eastAsia="仿宋_GB2312"/>
          <w:color w:val="000000"/>
          <w:spacing w:val="-4"/>
          <w:sz w:val="28"/>
          <w:szCs w:val="20"/>
        </w:rPr>
      </w:pP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文件名称：</w:t>
      </w:r>
      <w:r>
        <w:rPr>
          <w:rFonts w:hint="eastAsia" w:ascii="仿宋_GB2312" w:hAnsi="宋体" w:eastAsia="仿宋_GB2312"/>
          <w:color w:val="000000"/>
          <w:spacing w:val="-4"/>
          <w:sz w:val="28"/>
          <w:szCs w:val="20"/>
        </w:rPr>
        <w:t>ZRTQYCLK.dbf；</w:t>
      </w:r>
    </w:p>
    <w:p>
      <w:pPr>
        <w:spacing w:line="360" w:lineRule="auto"/>
        <w:ind w:firstLine="420"/>
        <w:rPr>
          <w:rFonts w:ascii="宋体" w:hAnsi="宋体" w:eastAsia="仿宋_GB2312"/>
          <w:color w:val="000000"/>
          <w:spacing w:val="-4"/>
          <w:sz w:val="28"/>
          <w:szCs w:val="20"/>
        </w:rPr>
      </w:pP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传输方向：中证金融</w:t>
      </w:r>
      <w:r>
        <w:rPr>
          <w:rFonts w:ascii="宋体" w:hAnsi="宋体" w:eastAsia="仿宋_GB2312"/>
          <w:color w:val="000000"/>
          <w:spacing w:val="-4"/>
          <w:sz w:val="28"/>
          <w:szCs w:val="20"/>
        </w:rPr>
        <w:t>—</w:t>
      </w: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〉借入人、出借人；</w:t>
      </w:r>
    </w:p>
    <w:p>
      <w:pPr>
        <w:spacing w:line="360" w:lineRule="auto"/>
        <w:ind w:firstLine="420"/>
        <w:rPr>
          <w:rFonts w:ascii="宋体" w:hAnsi="宋体" w:eastAsia="仿宋_GB2312"/>
          <w:color w:val="000000"/>
          <w:spacing w:val="-4"/>
          <w:sz w:val="28"/>
          <w:szCs w:val="20"/>
        </w:rPr>
      </w:pP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传输方式：通过FDEP文件传输系统以文件的形式传输；</w:t>
      </w:r>
    </w:p>
    <w:p>
      <w:pPr>
        <w:spacing w:line="360" w:lineRule="auto"/>
        <w:ind w:left="420"/>
        <w:rPr>
          <w:rFonts w:ascii="宋体" w:hAnsi="宋体" w:eastAsia="仿宋_GB2312"/>
          <w:color w:val="000000"/>
          <w:spacing w:val="-4"/>
          <w:sz w:val="28"/>
          <w:szCs w:val="20"/>
        </w:rPr>
      </w:pP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发送时间：每交易日转融通平台日终清算完成后下发。   发送的数据为转融券合约于</w:t>
      </w:r>
      <w:r>
        <w:rPr>
          <w:rFonts w:hint="eastAsia" w:ascii="宋体" w:hAnsi="宋体" w:eastAsia="仿宋_GB2312"/>
          <w:color w:val="FF0000"/>
          <w:spacing w:val="-4"/>
          <w:sz w:val="28"/>
          <w:szCs w:val="20"/>
        </w:rPr>
        <w:t>权益</w:t>
      </w: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登记日产生的权益处理数据，但是除红利、</w:t>
      </w:r>
      <w:r>
        <w:rPr>
          <w:rFonts w:hint="eastAsia" w:ascii="宋体" w:hAnsi="宋体" w:eastAsia="仿宋_GB2312"/>
          <w:color w:val="FF0000"/>
          <w:spacing w:val="-4"/>
          <w:sz w:val="28"/>
          <w:szCs w:val="20"/>
        </w:rPr>
        <w:t>深证市场送股和转增股</w:t>
      </w: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外的其他权益类型可能需要多次清算，需多发送一次数据，比如配股，</w:t>
      </w:r>
      <w:r>
        <w:rPr>
          <w:rFonts w:hint="eastAsia" w:ascii="宋体" w:hAnsi="宋体" w:eastAsia="仿宋_GB2312"/>
          <w:color w:val="FF0000"/>
          <w:spacing w:val="-4"/>
          <w:sz w:val="28"/>
          <w:szCs w:val="20"/>
        </w:rPr>
        <w:t>权益</w:t>
      </w: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登记日清算一次，配股除权日清算一次，因此会发送两次权益处理数据；又如增发、配债、派发权证等，</w:t>
      </w:r>
      <w:r>
        <w:rPr>
          <w:rFonts w:hint="eastAsia" w:ascii="宋体" w:hAnsi="宋体" w:eastAsia="仿宋_GB2312"/>
          <w:color w:val="FF0000"/>
          <w:spacing w:val="-4"/>
          <w:sz w:val="28"/>
          <w:szCs w:val="20"/>
        </w:rPr>
        <w:t>权益</w:t>
      </w: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登记日清算一次，证券上市日清算一次，因此也会发送两次权益处理数据；</w:t>
      </w:r>
      <w:r>
        <w:rPr>
          <w:rFonts w:hint="eastAsia" w:ascii="宋体" w:hAnsi="宋体" w:eastAsia="仿宋_GB2312"/>
          <w:color w:val="FF0000"/>
          <w:spacing w:val="-4"/>
          <w:sz w:val="28"/>
          <w:szCs w:val="20"/>
        </w:rPr>
        <w:t>再如上海市场送股、转增股，权益登记日清算一次，收到权益证券上市信息后清算一次，因此也会发送两次权益处理数据</w:t>
      </w:r>
      <w:r>
        <w:rPr>
          <w:rFonts w:hint="eastAsia" w:ascii="宋体" w:hAnsi="宋体" w:eastAsia="仿宋_GB2312"/>
          <w:color w:val="000000"/>
          <w:spacing w:val="-4"/>
          <w:sz w:val="28"/>
          <w:szCs w:val="20"/>
        </w:rPr>
        <w:t>。中证金融可以根据出借人、借入人的申请将该文件发送给其托管人。</w:t>
      </w:r>
    </w:p>
    <w:tbl>
      <w:tblPr>
        <w:tblStyle w:val="7"/>
        <w:tblW w:w="8080" w:type="dxa"/>
        <w:tblInd w:w="101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1" w:type="dxa"/>
          <w:bottom w:w="0" w:type="dxa"/>
          <w:right w:w="101" w:type="dxa"/>
        </w:tblCellMar>
      </w:tblPr>
      <w:tblGrid>
        <w:gridCol w:w="709"/>
        <w:gridCol w:w="1134"/>
        <w:gridCol w:w="1985"/>
        <w:gridCol w:w="992"/>
        <w:gridCol w:w="326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643" w:hRule="atLeast"/>
        </w:trPr>
        <w:tc>
          <w:tcPr>
            <w:tcW w:w="709" w:type="dxa"/>
            <w:tcBorders>
              <w:top w:val="double" w:color="auto" w:sz="4" w:space="0"/>
              <w:bottom w:val="single" w:color="auto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double" w:color="auto" w:sz="4" w:space="0"/>
              <w:bottom w:val="single" w:color="auto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字段名</w:t>
            </w:r>
          </w:p>
        </w:tc>
        <w:tc>
          <w:tcPr>
            <w:tcW w:w="1985" w:type="dxa"/>
            <w:tcBorders>
              <w:top w:val="double" w:color="auto" w:sz="4" w:space="0"/>
              <w:bottom w:val="single" w:color="auto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字段描述</w:t>
            </w:r>
          </w:p>
        </w:tc>
        <w:tc>
          <w:tcPr>
            <w:tcW w:w="992" w:type="dxa"/>
            <w:tcBorders>
              <w:top w:val="double" w:color="auto" w:sz="4" w:space="0"/>
              <w:bottom w:val="single" w:color="auto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类型</w:t>
            </w:r>
          </w:p>
        </w:tc>
        <w:tc>
          <w:tcPr>
            <w:tcW w:w="3260" w:type="dxa"/>
            <w:tcBorders>
              <w:top w:val="double" w:color="auto" w:sz="4" w:space="0"/>
              <w:bottom w:val="single" w:color="auto" w:sz="6" w:space="0"/>
            </w:tcBorders>
            <w:shd w:val="clear" w:color="auto" w:fill="E0E0E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说明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color="auto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JSJG</w:t>
            </w:r>
          </w:p>
        </w:tc>
        <w:tc>
          <w:tcPr>
            <w:tcW w:w="1985" w:type="dxa"/>
            <w:tcBorders>
              <w:top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结算机构</w:t>
            </w:r>
          </w:p>
        </w:tc>
        <w:tc>
          <w:tcPr>
            <w:tcW w:w="992" w:type="dxa"/>
            <w:tcBorders>
              <w:top w:val="single" w:color="auto" w:sz="6" w:space="0"/>
            </w:tcBorders>
            <w:shd w:val="clear" w:color="auto" w:fill="FFFFFF"/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C10</w:t>
            </w:r>
          </w:p>
        </w:tc>
        <w:tc>
          <w:tcPr>
            <w:tcW w:w="3260" w:type="dxa"/>
            <w:tcBorders>
              <w:top w:val="single" w:color="auto" w:sz="6" w:space="0"/>
            </w:tcBorders>
            <w:shd w:val="clear" w:color="auto" w:fill="FFFFFF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参与人结算机构代码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FSDX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发送对象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C1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0出借人，向出借人下发的数据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1借入人，向借入人下发的数据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QSRQ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清算日期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C8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格式为YYYYMMDD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HYBH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合约编号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N16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权益数据或权益合约对应的原合约的合约号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QYLB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权益类别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C1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0:红利/兑息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1:红股/送股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2:配股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3:增发新股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4:派发权证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6:配债/发行可转换债券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GQDJR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股权登记日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C8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QYDZR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预计权益补偿日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C8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该字段内容为预计的权益补偿日，供参考，最终的权益补偿日以交收通知库中的数据为准。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SCDM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市场代码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C1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0：深圳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1：上海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ZQDM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证券代码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C6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证券代码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WHGFSL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未还股份数量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N12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股权登记日合约的未还股数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MGBCJE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每股补偿金额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N12,8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每股的补偿金额，如果未确定，补偿金额则为0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MGBCGS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每股补偿股数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N12,8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每股的补偿数量，如果未确定，补偿数量则为0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YBCJE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应补偿金额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N16,2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MGBCJE * WHGFSL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YBCGS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应补偿股数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N12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MGBCGS * WHGFSL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BCQDBZ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补偿确定标识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C1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0：待确定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1：已确定</w:t>
            </w:r>
          </w:p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2：已取消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16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QYBCHYH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权益补偿合约号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N16,0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补偿确定标志为“1 已确定”时，内容为新产生的权益合约的合约编号。否则为0。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1" w:type="dxa"/>
            <w:bottom w:w="0" w:type="dxa"/>
            <w:right w:w="101" w:type="dxa"/>
          </w:tblCellMar>
        </w:tblPrEx>
        <w:trPr>
          <w:trHeight w:val="433" w:hRule="atLeast"/>
        </w:trPr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BZ</w:t>
            </w:r>
          </w:p>
        </w:tc>
        <w:tc>
          <w:tcPr>
            <w:tcW w:w="198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备注</w:t>
            </w:r>
          </w:p>
        </w:tc>
        <w:tc>
          <w:tcPr>
            <w:tcW w:w="9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C64</w:t>
            </w:r>
          </w:p>
        </w:tc>
        <w:tc>
          <w:tcPr>
            <w:tcW w:w="3260" w:type="dxa"/>
            <w:tcBorders>
              <w:top w:val="single" w:color="auto" w:sz="6" w:space="0"/>
              <w:bottom w:val="single" w:color="auto" w:sz="6" w:space="0"/>
            </w:tcBorders>
          </w:tcPr>
          <w:p>
            <w:pPr>
              <w:spacing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1B6"/>
    <w:rsid w:val="00176180"/>
    <w:rsid w:val="0024528F"/>
    <w:rsid w:val="002F16F8"/>
    <w:rsid w:val="002F7DA6"/>
    <w:rsid w:val="00345E86"/>
    <w:rsid w:val="00353B86"/>
    <w:rsid w:val="003C7176"/>
    <w:rsid w:val="003D7D15"/>
    <w:rsid w:val="004521B6"/>
    <w:rsid w:val="004E23A9"/>
    <w:rsid w:val="005103F8"/>
    <w:rsid w:val="00563CDD"/>
    <w:rsid w:val="005764E5"/>
    <w:rsid w:val="00621A39"/>
    <w:rsid w:val="00623796"/>
    <w:rsid w:val="00652975"/>
    <w:rsid w:val="006D05DF"/>
    <w:rsid w:val="006D13F4"/>
    <w:rsid w:val="0072608C"/>
    <w:rsid w:val="007945ED"/>
    <w:rsid w:val="00896737"/>
    <w:rsid w:val="008C1BF6"/>
    <w:rsid w:val="008C4051"/>
    <w:rsid w:val="00910E77"/>
    <w:rsid w:val="00A34A45"/>
    <w:rsid w:val="00B72312"/>
    <w:rsid w:val="00C25BBB"/>
    <w:rsid w:val="00CB7887"/>
    <w:rsid w:val="00D66F26"/>
    <w:rsid w:val="00E16DCB"/>
    <w:rsid w:val="00F81D9A"/>
    <w:rsid w:val="00FC0348"/>
    <w:rsid w:val="00FF0F8F"/>
    <w:rsid w:val="3E410AD0"/>
    <w:rsid w:val="62693C3B"/>
    <w:rsid w:val="735051E2"/>
    <w:rsid w:val="765F2EB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spacing w:before="240" w:line="360" w:lineRule="auto"/>
      <w:jc w:val="center"/>
      <w:outlineLvl w:val="1"/>
    </w:pPr>
    <w:rPr>
      <w:rFonts w:ascii="宋体" w:hAnsi="Cambria" w:eastAsia="仿宋_GB2312" w:cs="Times New Roman"/>
      <w:b/>
      <w:spacing w:val="-4"/>
      <w:sz w:val="24"/>
      <w:szCs w:val="20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1">
    <w:name w:val="标题 2 Char"/>
    <w:basedOn w:val="6"/>
    <w:link w:val="2"/>
    <w:qFormat/>
    <w:uiPriority w:val="0"/>
    <w:rPr>
      <w:rFonts w:ascii="宋体" w:hAnsi="Cambria" w:eastAsia="仿宋_GB2312" w:cs="Times New Roman"/>
      <w:b/>
      <w:spacing w:val="-4"/>
      <w:sz w:val="24"/>
      <w:szCs w:val="20"/>
    </w:rPr>
  </w:style>
  <w:style w:type="character" w:customStyle="1" w:styleId="12">
    <w:name w:val="批注框文本 Char"/>
    <w:basedOn w:val="6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203</Words>
  <Characters>1161</Characters>
  <Lines>9</Lines>
  <Paragraphs>2</Paragraphs>
  <ScaleCrop>false</ScaleCrop>
  <LinksUpToDate>false</LinksUpToDate>
  <CharactersWithSpaces>1362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2017-02-16T01:56:00Z</dcterms:created>
  <dc:creator>Microsoft</dc:creator>
  <cp:lastModifiedBy>zhangshu</cp:lastModifiedBy>
  <dcterms:modified xsi:type="dcterms:W3CDTF">2017-03-23T07:55:05Z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