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u w:val="none"/>
        </w:rPr>
      </w:pPr>
      <w:r>
        <w:rPr>
          <w:rFonts w:hint="eastAsia" w:ascii="微软雅黑" w:hAnsi="微软雅黑" w:eastAsia="微软雅黑" w:cs="微软雅黑"/>
          <w:i w:val="0"/>
          <w:caps w:val="0"/>
          <w:color w:val="333333"/>
          <w:spacing w:val="0"/>
          <w:u w:val="none"/>
          <w:bdr w:val="none" w:color="auto" w:sz="0" w:space="0"/>
          <w:shd w:val="clear" w:fill="FFFFFF"/>
        </w:rPr>
        <w:t>国务院印发《关于加强监管防范风险推动资本市场高质量发展的若干意见》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val="0"/>
          <w:color w:val="auto"/>
          <w:sz w:val="24"/>
          <w:szCs w:val="24"/>
          <w:u w:val="none"/>
        </w:rPr>
      </w:pPr>
      <w:bookmarkStart w:id="0" w:name="_GoBack"/>
      <w:r>
        <w:rPr>
          <w:rFonts w:hint="eastAsia" w:asciiTheme="minorEastAsia" w:hAnsiTheme="minorEastAsia" w:eastAsiaTheme="minorEastAsia" w:cstheme="minorEastAsia"/>
          <w:b w:val="0"/>
          <w:bCs w:val="0"/>
          <w:i w:val="0"/>
          <w:caps w:val="0"/>
          <w:color w:val="auto"/>
          <w:spacing w:val="0"/>
          <w:sz w:val="24"/>
          <w:szCs w:val="24"/>
          <w:u w:val="none"/>
          <w:bdr w:val="none" w:color="auto" w:sz="0" w:space="0"/>
          <w:shd w:val="clear" w:fill="FFFFFF"/>
        </w:rPr>
        <w:t>日期：2024-04-12 来源：新华社</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999999"/>
          <w:spacing w:val="0"/>
          <w:sz w:val="24"/>
          <w:szCs w:val="24"/>
          <w:u w:val="none"/>
        </w:rPr>
      </w:pPr>
      <w:r>
        <w:rPr>
          <w:rFonts w:hint="eastAsia" w:asciiTheme="minorEastAsia" w:hAnsiTheme="minorEastAsia" w:eastAsiaTheme="minorEastAsia" w:cstheme="minorEastAsia"/>
          <w:i w:val="0"/>
          <w:caps w:val="0"/>
          <w:color w:val="999999"/>
          <w:spacing w:val="0"/>
          <w:kern w:val="0"/>
          <w:sz w:val="24"/>
          <w:szCs w:val="24"/>
          <w:u w:val="non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ind w:left="450" w:right="0" w:firstLine="0"/>
        <w:jc w:val="left"/>
        <w:rPr>
          <w:rFonts w:hint="eastAsia" w:asciiTheme="minorEastAsia" w:hAnsiTheme="minorEastAsia" w:eastAsiaTheme="minorEastAsia" w:cstheme="minorEastAsia"/>
          <w:i w:val="0"/>
          <w:caps w:val="0"/>
          <w:color w:val="999999"/>
          <w:spacing w:val="0"/>
          <w:sz w:val="24"/>
          <w:szCs w:val="24"/>
          <w:u w:val="none"/>
        </w:rPr>
      </w:pPr>
      <w:r>
        <w:rPr>
          <w:rFonts w:hint="eastAsia" w:asciiTheme="minorEastAsia" w:hAnsiTheme="minorEastAsia" w:eastAsiaTheme="minorEastAsia" w:cstheme="minorEastAsia"/>
          <w:i w:val="0"/>
          <w:caps w:val="0"/>
          <w:color w:val="999999"/>
          <w:spacing w:val="0"/>
          <w:kern w:val="0"/>
          <w:sz w:val="24"/>
          <w:szCs w:val="24"/>
          <w:u w:val="none"/>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新华社北京4月12日电  日前，国务院印发《关于加强监管防范风险推动资本市场高质量发展的若干意见》（以下简称《意见》）。《意见》指出，要以习近平新时代中国特色社会主义思想为指导，全面贯彻党的二十大和二十届二中全会精神，紧紧围绕打造安全、规范、透明、开放、有活力、有韧性的资本市场，以强监管、防风险、促高质量发展为主线，更好发挥资本市场功能作用，推进金融强国建设，服务中国式现代化大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意见》强调，必须坚持和加强党的领导，确保资本市场始终保持正确的发展方向；必须始终践行金融为民的理念，更加有效保护投资者特别是中小投资者合法权益；必须全面加强监管、有效防范化解风险，确保监管“长牙带刺”、有棱有角；必须始终坚持市场化法治化原则，进一步全面深化资本市场改革，统筹好开放和安全；必须牢牢把握高质量发展的主题，更加有力服务国民经济重点领域和现代化产业体系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意见》要求，要严把发行上市准入关，提高主板、创业板上市标准，完善科创板科创属性评价标准，扩大现场检查覆盖面，强化发行上市全链条责任，加大发行承销监管力度，严查欺诈发行等违法违规问题。要严格上市公司持续监管，构建资本市场防假打假综合惩防体系，严厉打击各类违规减持，强化上市公司现金分红监管，推动上市公司提升投资价值。要加大退市监管力度，进一步严格强制退市标准，畅通多元退市渠道，精准打击各类违规“保壳”行为，健全退市过程中的投资者赔偿救济机制。要加强证券基金机构监管，强化股东、业务准入管理，积极培育良好的行业文化和投资文化，完善行业薪酬管理制度，坚决纠治不良风气，推动行业回归本源、做优做强。要加强对高频量化等交易监管，严肃查处操纵市场恶意做空等违法违规行为，加强战略性力量储备和稳定机制建设，将重大经济或非经济政策对资本市场的影响纳入宏观政策取向一致性评估，增强资本市场内在稳定性。要大力推动中长期资金入市，大力发展权益类公募基金，优化保险资金权益投资政策环境，完善全国社会保障基金、基本养老保险基金投资政策，鼓励银行理财和信托资金积极参与资本市场。要进一步全面深化改革开放，推动股票发行注册制走深走实，提升对新产业新业态新技术的包容性，促进新质生产力发展，完善多层次资本市场体系，坚持统筹资本市场高水平制度型开放和安全。要加强资本市场法治建设，加大对证券期货违法犯罪的联合打击力度，深化央地、部际协调联动，打造政治过硬、能力过硬、作风过硬的监管铁军，推动形成促进资本市场高质量发展的合力。</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656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杨欢</cp:lastModifiedBy>
  <dcterms:modified xsi:type="dcterms:W3CDTF">2024-05-21T02:53:33Z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